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67067"/>
        <w15:color w:val="DBDBDB"/>
        <w:docPartObj>
          <w:docPartGallery w:val="Table of Contents"/>
          <w:docPartUnique/>
        </w:docPartObj>
      </w:sdtPr>
      <w:sdtEndPr>
        <w:rPr>
          <w:rFonts w:hint="default" w:ascii="Times New Roman" w:hAnsi="Times New Roman" w:cs="Times New Roman" w:eastAsiaTheme="minorEastAsia"/>
          <w:b/>
          <w:bCs/>
          <w:kern w:val="2"/>
          <w:sz w:val="21"/>
          <w:szCs w:val="32"/>
          <w:lang w:val="en-US" w:eastAsia="zh-CN" w:bidi="ar-SA"/>
        </w:rPr>
      </w:sdtEndPr>
      <w:sdtContent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  <w:bookmarkStart w:id="0" w:name="_Toc27315"/>
          <w:bookmarkStart w:id="1" w:name="_Toc25762"/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spacing w:line="360" w:lineRule="auto"/>
            <w:jc w:val="center"/>
            <w:rPr>
              <w:rFonts w:hint="default" w:ascii="Times New Roman" w:hAnsi="Times New Roman" w:eastAsia="宋体" w:cs="Times New Roman"/>
              <w:b/>
              <w:sz w:val="52"/>
              <w:szCs w:val="52"/>
              <w:lang w:eastAsia="zh-CN"/>
            </w:rPr>
          </w:pPr>
          <w:r>
            <w:rPr>
              <w:rFonts w:hint="eastAsia" w:ascii="Times New Roman" w:hAnsi="Times New Roman" w:eastAsia="宋体" w:cs="Times New Roman"/>
              <w:b/>
              <w:sz w:val="52"/>
              <w:szCs w:val="52"/>
              <w:lang w:eastAsia="zh-CN"/>
            </w:rPr>
            <w:t>浙江奕科新材料股份有限公司</w:t>
          </w:r>
        </w:p>
        <w:p>
          <w:pPr>
            <w:spacing w:line="360" w:lineRule="auto"/>
            <w:jc w:val="center"/>
            <w:rPr>
              <w:rFonts w:hint="default" w:ascii="Times New Roman" w:hAnsi="Times New Roman" w:eastAsia="宋体" w:cs="Times New Roman"/>
              <w:b/>
              <w:sz w:val="52"/>
              <w:szCs w:val="52"/>
            </w:rPr>
          </w:pPr>
          <w:r>
            <w:rPr>
              <w:rFonts w:hint="eastAsia" w:ascii="Times New Roman" w:hAnsi="Times New Roman" w:eastAsia="宋体" w:cs="Times New Roman"/>
              <w:b/>
              <w:sz w:val="52"/>
              <w:szCs w:val="52"/>
              <w:lang w:eastAsia="zh-CN"/>
            </w:rPr>
            <w:t>2023</w:t>
          </w:r>
          <w:r>
            <w:rPr>
              <w:rFonts w:hint="default" w:ascii="Times New Roman" w:hAnsi="Times New Roman" w:eastAsia="宋体" w:cs="Times New Roman"/>
              <w:b/>
              <w:sz w:val="52"/>
              <w:szCs w:val="52"/>
            </w:rPr>
            <w:t>年度</w:t>
          </w:r>
        </w:p>
        <w:p>
          <w:pPr>
            <w:spacing w:line="360" w:lineRule="auto"/>
            <w:jc w:val="center"/>
            <w:rPr>
              <w:rFonts w:hint="default" w:ascii="Times New Roman" w:hAnsi="Times New Roman" w:eastAsia="宋体" w:cs="Times New Roman"/>
              <w:b/>
              <w:sz w:val="52"/>
              <w:szCs w:val="52"/>
            </w:rPr>
          </w:pPr>
          <w:bookmarkStart w:id="4" w:name="_GoBack"/>
          <w:r>
            <w:rPr>
              <w:rFonts w:hint="eastAsia" w:ascii="Times New Roman" w:hAnsi="Times New Roman" w:eastAsia="宋体" w:cs="Times New Roman"/>
              <w:b/>
              <w:sz w:val="52"/>
              <w:szCs w:val="52"/>
              <w:lang w:eastAsia="zh-CN"/>
            </w:rPr>
            <w:t>碳足迹核查</w:t>
          </w:r>
          <w:r>
            <w:rPr>
              <w:rFonts w:hint="default" w:ascii="Times New Roman" w:hAnsi="Times New Roman" w:eastAsia="宋体" w:cs="Times New Roman"/>
              <w:b/>
              <w:sz w:val="52"/>
              <w:szCs w:val="52"/>
            </w:rPr>
            <w:t>报告</w:t>
          </w:r>
          <w:bookmarkEnd w:id="4"/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  <w:r>
            <w:rPr>
              <w:rFonts w:hint="default" w:ascii="Times New Roman" w:hAnsi="Times New Roman" w:eastAsia="宋体" w:cs="Times New Roman"/>
              <w:sz w:val="30"/>
              <w:szCs w:val="30"/>
            </w:rPr>
            <w:t>核查机构名称（盖章）：</w:t>
          </w:r>
          <w:r>
            <w:rPr>
              <w:rFonts w:hint="default" w:ascii="Times New Roman" w:hAnsi="Times New Roman" w:eastAsia="宋体" w:cs="Times New Roman"/>
              <w:sz w:val="30"/>
              <w:szCs w:val="30"/>
              <w:lang w:eastAsia="zh-CN"/>
            </w:rPr>
            <w:t>杭州宁旺节能环保科技</w:t>
          </w:r>
          <w:r>
            <w:rPr>
              <w:rFonts w:hint="default" w:ascii="Times New Roman" w:hAnsi="Times New Roman" w:eastAsia="宋体" w:cs="Times New Roman"/>
              <w:sz w:val="30"/>
              <w:szCs w:val="30"/>
            </w:rPr>
            <w:t>有限公司</w:t>
          </w: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  <w:r>
            <w:rPr>
              <w:rFonts w:hint="default" w:ascii="Times New Roman" w:hAnsi="Times New Roman" w:eastAsia="宋体" w:cs="Times New Roman"/>
              <w:sz w:val="30"/>
              <w:szCs w:val="30"/>
            </w:rPr>
            <w:t>核查报告签发日期：</w:t>
          </w:r>
          <w:r>
            <w:rPr>
              <w:rFonts w:hint="eastAsia" w:ascii="Times New Roman" w:hAnsi="Times New Roman" w:eastAsia="宋体" w:cs="Times New Roman"/>
              <w:sz w:val="30"/>
              <w:szCs w:val="30"/>
              <w:lang w:eastAsia="zh-CN"/>
            </w:rPr>
            <w:t>202</w:t>
          </w:r>
          <w:r>
            <w:rPr>
              <w:rFonts w:hint="eastAsia" w:ascii="Times New Roman" w:hAnsi="Times New Roman" w:eastAsia="宋体" w:cs="Times New Roman"/>
              <w:sz w:val="30"/>
              <w:szCs w:val="30"/>
              <w:lang w:val="en-US" w:eastAsia="zh-CN"/>
            </w:rPr>
            <w:t>4</w:t>
          </w:r>
          <w:r>
            <w:rPr>
              <w:rFonts w:hint="default" w:ascii="Times New Roman" w:hAnsi="Times New Roman" w:eastAsia="宋体" w:cs="Times New Roman"/>
              <w:sz w:val="30"/>
              <w:szCs w:val="30"/>
            </w:rPr>
            <w:t>年</w:t>
          </w:r>
          <w:r>
            <w:rPr>
              <w:rFonts w:hint="eastAsia" w:ascii="Times New Roman" w:hAnsi="Times New Roman" w:eastAsia="宋体" w:cs="Times New Roman"/>
              <w:sz w:val="30"/>
              <w:szCs w:val="30"/>
              <w:lang w:val="en-US" w:eastAsia="zh-CN"/>
            </w:rPr>
            <w:t>2</w:t>
          </w:r>
          <w:r>
            <w:rPr>
              <w:rFonts w:hint="default" w:ascii="Times New Roman" w:hAnsi="Times New Roman" w:eastAsia="宋体" w:cs="Times New Roman"/>
              <w:sz w:val="30"/>
              <w:szCs w:val="30"/>
            </w:rPr>
            <w:t>月</w:t>
          </w:r>
          <w:r>
            <w:rPr>
              <w:rFonts w:hint="eastAsia" w:ascii="Times New Roman" w:hAnsi="Times New Roman" w:eastAsia="宋体" w:cs="Times New Roman"/>
              <w:sz w:val="30"/>
              <w:szCs w:val="30"/>
              <w:lang w:val="en-US" w:eastAsia="zh-CN"/>
            </w:rPr>
            <w:t>26</w:t>
          </w:r>
          <w:r>
            <w:rPr>
              <w:rFonts w:hint="default" w:ascii="Times New Roman" w:hAnsi="Times New Roman" w:eastAsia="宋体" w:cs="Times New Roman"/>
              <w:sz w:val="30"/>
              <w:szCs w:val="30"/>
            </w:rPr>
            <w:t>日</w:t>
          </w:r>
        </w:p>
        <w:p>
          <w:pPr>
            <w:rPr>
              <w:rFonts w:hint="default" w:ascii="Times New Roman" w:hAnsi="Times New Roman" w:eastAsia="宋体" w:cs="Times New Roman"/>
              <w:sz w:val="30"/>
              <w:szCs w:val="30"/>
            </w:rPr>
          </w:pPr>
        </w:p>
        <w:p>
          <w:pPr>
            <w:rPr>
              <w:rFonts w:hint="default" w:ascii="Times New Roman" w:hAnsi="Times New Roman" w:eastAsia="宋体" w:cs="Times New Roman"/>
            </w:rPr>
            <w:sectPr>
              <w:footerReference r:id="rId3" w:type="default"/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</w:p>
        <w:p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0" w:beforeLines="0" w:after="0" w:afterLines="0" w:line="500" w:lineRule="exact"/>
            <w:ind w:left="0" w:leftChars="0" w:right="0" w:rightChars="0" w:firstLine="0" w:firstLineChars="0"/>
            <w:jc w:val="center"/>
            <w:textAlignment w:val="auto"/>
            <w:rPr>
              <w:rFonts w:hint="default" w:ascii="Times New Roman" w:hAnsi="Times New Roman" w:cs="Times New Roman" w:eastAsiaTheme="minorEastAsia"/>
              <w:sz w:val="24"/>
              <w:szCs w:val="24"/>
            </w:rPr>
          </w:pP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>目录</w:t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</w:pP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instrText xml:space="preserve">TOC \o "1-2" \h \u </w:instrTex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instrText xml:space="preserve"> HYPERLINK \l _Toc12486 </w:instrTex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t>1 、执行摘要</w:t>
          </w:r>
          <w:r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  <w:tab/>
          </w:r>
          <w:r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  <w:instrText xml:space="preserve"> PAGEREF _Toc12486 \h </w:instrText>
          </w:r>
          <w:r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  <w:t>1</w:t>
          </w:r>
          <w:r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  <w:fldChar w:fldCharType="end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</w:pP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instrText xml:space="preserve"> HYPERLINK \l _Toc1530 </w:instrTex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  <w:lang w:eastAsia="zh-CN"/>
            </w:rPr>
            <w:t>2 、产品碳足迹介绍（ PCF ）介绍</w:t>
          </w:r>
          <w:r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b/>
              <w:sz w:val="24"/>
              <w:szCs w:val="24"/>
              <w:lang w:val="en-US" w:eastAsia="zh-CN"/>
            </w:rPr>
            <w:t>4</w: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</w:pP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instrText xml:space="preserve"> HYPERLINK \l _Toc901 </w:instrTex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  <w:lang w:eastAsia="zh-CN"/>
            </w:rPr>
            <w:t>3 、目标与范围定义</w:t>
          </w:r>
          <w:r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b/>
              <w:sz w:val="24"/>
              <w:szCs w:val="24"/>
              <w:lang w:val="en-US" w:eastAsia="zh-CN"/>
            </w:rPr>
            <w:t>6</w: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0" w:firstLineChars="200"/>
            <w:textAlignment w:val="auto"/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3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eastAsia="zh-CN"/>
            </w:rPr>
            <w:t xml:space="preserve">.1 </w:t>
          </w:r>
          <w:r>
            <w:rPr>
              <w:rFonts w:hint="eastAsia" w:ascii="Times New Roman" w:hAnsi="Times New Roman" w:cs="Times New Roman"/>
              <w:bCs/>
              <w:sz w:val="24"/>
              <w:szCs w:val="24"/>
              <w:lang w:eastAsia="zh-CN"/>
            </w:rPr>
            <w:t>浙江奕科新材料股份有限公司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eastAsia="zh-CN"/>
            </w:rPr>
            <w:t>及其产品介绍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6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0" w:firstLineChars="200"/>
            <w:textAlignment w:val="auto"/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3.2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eastAsia="zh-CN"/>
            </w:rPr>
            <w:t xml:space="preserve"> 研究目的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7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0" w:firstLineChars="200"/>
            <w:textAlignment w:val="auto"/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3.3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eastAsia="zh-CN"/>
            </w:rPr>
            <w:t xml:space="preserve"> 研究的边界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8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0" w:firstLineChars="200"/>
            <w:textAlignment w:val="auto"/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3.4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eastAsia="zh-CN"/>
            </w:rPr>
            <w:t xml:space="preserve"> 功能单位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8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0" w:firstLineChars="200"/>
            <w:textAlignment w:val="auto"/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3.5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eastAsia="zh-CN"/>
            </w:rPr>
            <w:t xml:space="preserve"> 生命周期流程图的绘制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9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0" w:firstLineChars="200"/>
            <w:textAlignment w:val="auto"/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3.6取舍准则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1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0</w:t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0" w:firstLineChars="200"/>
            <w:textAlignment w:val="auto"/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3.7影响类型和评价方法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1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1</w:t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0" w:firstLineChars="200"/>
            <w:textAlignment w:val="auto"/>
            <w:rPr>
              <w:rFonts w:hint="default" w:ascii="Times New Roman" w:hAnsi="Times New Roman" w:cs="Times New Roman" w:eastAsiaTheme="minorEastAsia"/>
              <w:b w:val="0"/>
              <w:bCs w:val="0"/>
              <w:sz w:val="24"/>
              <w:szCs w:val="24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3.8数据质量要求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instrText xml:space="preserve"> PAGEREF _Toc32497 \h </w:instrTex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>32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fldChar w:fldCharType="end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eastAsia" w:ascii="Times New Roman" w:hAnsi="Times New Roman" w:cs="Times New Roman" w:eastAsiaTheme="minorEastAsia"/>
              <w:b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instrText xml:space="preserve"> HYPERLINK \l _Toc16480 </w:instrTex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  <w:lang w:eastAsia="zh-CN"/>
            </w:rPr>
            <w:t>4、 产品回收阶段</w:t>
          </w:r>
          <w:r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b/>
              <w:sz w:val="24"/>
              <w:szCs w:val="24"/>
              <w:lang w:val="en-US" w:eastAsia="zh-CN"/>
            </w:rPr>
            <w:t>1</w: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/>
              <w:bCs/>
              <w:sz w:val="24"/>
              <w:szCs w:val="24"/>
              <w:lang w:val="en-US" w:eastAsia="zh-CN"/>
            </w:rPr>
            <w:t>3</w:t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0" w:firstLineChars="200"/>
            <w:textAlignment w:val="auto"/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4.1原材料生产阶段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1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3</w:t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0" w:firstLineChars="200"/>
            <w:textAlignment w:val="auto"/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4.2原材料运输阶段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1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4</w:t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0" w:firstLineChars="200"/>
            <w:textAlignment w:val="auto"/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4.3产品生产阶段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1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5</w:t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0" w:firstLineChars="200"/>
            <w:textAlignment w:val="auto"/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4.4产品运输阶段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3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0</w:t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0" w:firstLineChars="200"/>
            <w:textAlignment w:val="auto"/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4.5产品使用阶段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3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0</w:t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0" w:firstLineChars="200"/>
            <w:textAlignment w:val="auto"/>
            <w:rPr>
              <w:rFonts w:hint="eastAsia" w:ascii="Times New Roman" w:hAnsi="Times New Roman" w:cs="Times New Roman" w:eastAsiaTheme="minorEastAsia"/>
              <w:b/>
              <w:bCs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4.6产品回收阶段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3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0</w:t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eastAsia" w:ascii="Times New Roman" w:hAnsi="Times New Roman" w:cs="Times New Roman" w:eastAsiaTheme="minorEastAsia"/>
              <w:b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instrText xml:space="preserve"> HYPERLINK \l _Toc8842 </w:instrTex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  <w:lang w:eastAsia="zh-CN"/>
            </w:rPr>
            <w:t>5 、数据的收集和主要排放因子说明</w:t>
          </w:r>
          <w:r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b/>
              <w:sz w:val="24"/>
              <w:szCs w:val="24"/>
              <w:lang w:val="en-US" w:eastAsia="zh-CN"/>
            </w:rPr>
            <w:t>3</w: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/>
              <w:bCs/>
              <w:sz w:val="24"/>
              <w:szCs w:val="24"/>
              <w:lang w:val="en-US" w:eastAsia="zh-CN"/>
            </w:rPr>
            <w:t>1</w:t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eastAsia" w:ascii="Times New Roman" w:hAnsi="Times New Roman" w:cs="Times New Roman" w:eastAsiaTheme="minorEastAsia"/>
              <w:b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instrText xml:space="preserve"> HYPERLINK \l _Toc17997 </w:instrTex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  <w:lang w:eastAsia="zh-CN"/>
            </w:rPr>
            <w:t>6 、碳足迹计算</w:t>
          </w:r>
          <w:r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b/>
              <w:sz w:val="24"/>
              <w:szCs w:val="24"/>
              <w:lang w:val="en-US" w:eastAsia="zh-CN"/>
            </w:rPr>
            <w:t>3</w: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/>
              <w:bCs/>
              <w:sz w:val="24"/>
              <w:szCs w:val="24"/>
              <w:lang w:val="en-US" w:eastAsia="zh-CN"/>
            </w:rPr>
            <w:t>2</w:t>
          </w:r>
        </w:p>
        <w:p>
          <w:pPr>
            <w:pStyle w:val="8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_Toc32497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eastAsia="zh-CN"/>
            </w:rPr>
            <w:t>6.1 碳足迹识别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3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2</w:t>
          </w:r>
        </w:p>
        <w:p>
          <w:pPr>
            <w:pStyle w:val="8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_Toc8494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eastAsia="zh-CN"/>
            </w:rPr>
            <w:t>6.2 计算公式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3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2</w:t>
          </w:r>
        </w:p>
        <w:p>
          <w:pPr>
            <w:pStyle w:val="8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_Toc28204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6.3 碳足迹数据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3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3</w:t>
          </w:r>
        </w:p>
        <w:p>
          <w:pPr>
            <w:pStyle w:val="8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instrText xml:space="preserve"> HYPERLINK \l _Toc25470 </w:instrTex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6.4 碳足迹数据分析</w:t>
          </w:r>
          <w:r>
            <w:rPr>
              <w:rFonts w:hint="default" w:ascii="Times New Roman" w:hAnsi="Times New Roman" w:cs="Times New Roman" w:eastAsiaTheme="minorEastAsia"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sz w:val="24"/>
              <w:szCs w:val="24"/>
              <w:lang w:val="en-US" w:eastAsia="zh-CN"/>
            </w:rPr>
            <w:t>3</w:t>
          </w:r>
          <w:r>
            <w:rPr>
              <w:rFonts w:hint="default" w:ascii="Times New Roman" w:hAnsi="Times New Roman" w:cs="Times New Roman" w:eastAsiaTheme="minorEastAsia"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Cs/>
              <w:sz w:val="24"/>
              <w:szCs w:val="24"/>
              <w:lang w:val="en-US" w:eastAsia="zh-CN"/>
            </w:rPr>
            <w:t>3</w:t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eastAsia" w:ascii="Times New Roman" w:hAnsi="Times New Roman" w:cs="Times New Roman" w:eastAsiaTheme="minorEastAsia"/>
              <w:b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instrText xml:space="preserve"> HYPERLINK \l _Toc18519 </w:instrTex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  <w:lang w:val="en-US" w:eastAsia="zh-CN"/>
            </w:rPr>
            <w:t>7 、不确定分析</w:t>
          </w:r>
          <w:r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b/>
              <w:sz w:val="24"/>
              <w:szCs w:val="24"/>
              <w:lang w:val="en-US" w:eastAsia="zh-CN"/>
            </w:rPr>
            <w:t>3</w: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/>
              <w:bCs/>
              <w:sz w:val="24"/>
              <w:szCs w:val="24"/>
              <w:lang w:val="en-US" w:eastAsia="zh-CN"/>
            </w:rPr>
            <w:t>6</w:t>
          </w:r>
        </w:p>
        <w:p>
          <w:pPr>
            <w:pStyle w:val="7"/>
            <w:keepNext w:val="0"/>
            <w:keepLines w:val="0"/>
            <w:pageBreakBefore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eastAsia" w:ascii="Times New Roman" w:hAnsi="Times New Roman" w:cs="Times New Roman" w:eastAsiaTheme="minorEastAsia"/>
              <w:b/>
              <w:sz w:val="24"/>
              <w:szCs w:val="24"/>
              <w:lang w:val="en-US" w:eastAsia="zh-CN"/>
            </w:rPr>
          </w:pP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instrText xml:space="preserve"> HYPERLINK \l _Toc32334 </w:instrTex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  <w:lang w:val="en-US" w:eastAsia="zh-CN"/>
            </w:rPr>
            <w:t>8 、结语</w:t>
          </w:r>
          <w:r>
            <w:rPr>
              <w:rFonts w:hint="default" w:ascii="Times New Roman" w:hAnsi="Times New Roman" w:cs="Times New Roman" w:eastAsiaTheme="minorEastAsia"/>
              <w:b/>
              <w:sz w:val="24"/>
              <w:szCs w:val="24"/>
            </w:rPr>
            <w:tab/>
          </w:r>
          <w:r>
            <w:rPr>
              <w:rFonts w:hint="eastAsia" w:ascii="Times New Roman" w:hAnsi="Times New Roman" w:cs="Times New Roman" w:eastAsiaTheme="minorEastAsia"/>
              <w:b/>
              <w:sz w:val="24"/>
              <w:szCs w:val="24"/>
              <w:lang w:val="en-US" w:eastAsia="zh-CN"/>
            </w:rPr>
            <w:t>3</w:t>
          </w: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end"/>
          </w:r>
          <w:r>
            <w:rPr>
              <w:rFonts w:hint="eastAsia" w:ascii="Times New Roman" w:hAnsi="Times New Roman" w:cs="Times New Roman" w:eastAsiaTheme="minorEastAsia"/>
              <w:b/>
              <w:bCs/>
              <w:sz w:val="24"/>
              <w:szCs w:val="24"/>
              <w:lang w:val="en-US" w:eastAsia="zh-CN"/>
            </w:rPr>
            <w:t>6</w:t>
          </w:r>
        </w:p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ind w:firstLine="482" w:firstLineChars="200"/>
            <w:textAlignment w:val="auto"/>
            <w:outlineLvl w:val="9"/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sectPr>
              <w:headerReference r:id="rId4" w:type="default"/>
              <w:footerReference r:id="rId5" w:type="default"/>
              <w:pgSz w:w="11906" w:h="16838"/>
              <w:pgMar w:top="1440" w:right="1800" w:bottom="1440" w:left="1800" w:header="851" w:footer="992" w:gutter="0"/>
              <w:pgNumType w:fmt="decimal" w:start="1"/>
              <w:cols w:space="425" w:num="1"/>
              <w:docGrid w:type="lines" w:linePitch="312" w:charSpace="0"/>
            </w:sectPr>
          </w:pPr>
        </w:p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outlineLvl w:val="9"/>
            <w:rPr>
              <w:rFonts w:hint="default" w:ascii="Times New Roman" w:hAnsi="Times New Roman" w:cs="Times New Roman"/>
              <w:b/>
              <w:bCs/>
              <w:sz w:val="32"/>
              <w:szCs w:val="32"/>
            </w:rPr>
          </w:pPr>
          <w:r>
            <w:rPr>
              <w:rFonts w:hint="default" w:ascii="Times New Roman" w:hAnsi="Times New Roman" w:cs="Times New Roman" w:eastAsiaTheme="minorEastAsia"/>
              <w:b/>
              <w:bCs/>
              <w:sz w:val="24"/>
              <w:szCs w:val="24"/>
            </w:rPr>
            <w:fldChar w:fldCharType="end"/>
          </w:r>
        </w:p>
      </w:sdtContent>
    </w:sdt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3" w:firstLineChars="200"/>
        <w:textAlignment w:val="auto"/>
        <w:outlineLvl w:val="0"/>
        <w:rPr>
          <w:rFonts w:hint="default" w:ascii="Times New Roman" w:hAnsi="Times New Roman" w:cs="Times New Roman"/>
          <w:b/>
          <w:bCs/>
          <w:sz w:val="32"/>
          <w:szCs w:val="32"/>
        </w:rPr>
      </w:pPr>
      <w:bookmarkStart w:id="2" w:name="_Toc12486"/>
      <w:bookmarkStart w:id="3" w:name="_Toc16551"/>
      <w:r>
        <w:rPr>
          <w:rFonts w:hint="default" w:ascii="Times New Roman" w:hAnsi="Times New Roman" w:cs="Times New Roman"/>
          <w:b/>
          <w:bCs/>
          <w:sz w:val="32"/>
          <w:szCs w:val="32"/>
        </w:rPr>
        <w:t>1 、执行摘要</w:t>
      </w:r>
      <w:bookmarkEnd w:id="0"/>
      <w:bookmarkEnd w:id="1"/>
      <w:bookmarkEnd w:id="2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浙江奕科新材料股份有限公司</w:t>
      </w:r>
      <w:r>
        <w:rPr>
          <w:rFonts w:hint="eastAsia"/>
          <w:sz w:val="28"/>
          <w:szCs w:val="28"/>
        </w:rPr>
        <w:t>作为行业</w:t>
      </w:r>
      <w:r>
        <w:rPr>
          <w:rFonts w:hint="eastAsia"/>
          <w:sz w:val="28"/>
          <w:szCs w:val="28"/>
          <w:lang w:eastAsia="zh-CN"/>
        </w:rPr>
        <w:t>先进龙头</w:t>
      </w:r>
      <w:r>
        <w:rPr>
          <w:rFonts w:hint="eastAsia"/>
          <w:sz w:val="28"/>
          <w:szCs w:val="28"/>
        </w:rPr>
        <w:t>企业，为相关环境披露要求，履行社会责任、接受社会监督，特邀请</w:t>
      </w:r>
      <w:r>
        <w:rPr>
          <w:rFonts w:hint="eastAsia"/>
          <w:sz w:val="28"/>
          <w:szCs w:val="28"/>
          <w:lang w:eastAsia="zh-CN"/>
        </w:rPr>
        <w:t>杭州宁旺节能环保科技有限公司</w:t>
      </w:r>
      <w:r>
        <w:rPr>
          <w:rFonts w:hint="eastAsia"/>
          <w:sz w:val="28"/>
          <w:szCs w:val="28"/>
        </w:rPr>
        <w:t xml:space="preserve">对其主产品的碳足迹排放情况进行研究，出具研究报告。研究的目的是以生命周期评价方法为基础，采用 </w:t>
      </w:r>
      <w:r>
        <w:rPr>
          <w:rFonts w:hint="default" w:ascii="Times New Roman" w:hAnsi="Times New Roman" w:cs="Times New Roman"/>
          <w:sz w:val="28"/>
          <w:szCs w:val="28"/>
        </w:rPr>
        <w:t>ISO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/吨</w:t>
      </w:r>
      <w:r>
        <w:rPr>
          <w:rFonts w:hint="default" w:ascii="Times New Roman" w:hAnsi="Times New Roman" w:cs="Times New Roman"/>
          <w:sz w:val="28"/>
          <w:szCs w:val="28"/>
        </w:rPr>
        <w:t>S 14067-2013《温室气体.产品的碳排放量.量化和通信的要求和指南》、PAS2050:2011《</w:t>
      </w:r>
      <w:r>
        <w:rPr>
          <w:rFonts w:hint="eastAsia"/>
          <w:sz w:val="28"/>
          <w:szCs w:val="28"/>
        </w:rPr>
        <w:t>商品和服务在生命周期内的温室气体排放评价规范》的要求中规定的碳足迹核算方法，计算得到</w:t>
      </w:r>
      <w:r>
        <w:rPr>
          <w:rFonts w:hint="eastAsia"/>
          <w:sz w:val="28"/>
          <w:szCs w:val="28"/>
          <w:lang w:eastAsia="zh-CN"/>
        </w:rPr>
        <w:t>浙江奕科新材料股份有限公司</w:t>
      </w:r>
      <w:r>
        <w:rPr>
          <w:rFonts w:hint="eastAsia"/>
          <w:sz w:val="28"/>
          <w:szCs w:val="28"/>
        </w:rPr>
        <w:t>的</w:t>
      </w:r>
      <w:r>
        <w:rPr>
          <w:rFonts w:hint="eastAsia"/>
          <w:sz w:val="28"/>
          <w:szCs w:val="28"/>
          <w:lang w:eastAsia="zh-CN"/>
        </w:rPr>
        <w:t>PVC地板</w:t>
      </w:r>
      <w:r>
        <w:rPr>
          <w:rFonts w:hint="eastAsia"/>
          <w:sz w:val="28"/>
          <w:szCs w:val="28"/>
        </w:rPr>
        <w:t>产品的碳足迹。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560" w:firstLineChars="200"/>
        <w:textAlignment w:val="auto"/>
      </w:pPr>
      <w:r>
        <w:rPr>
          <w:rFonts w:hint="eastAsia"/>
          <w:sz w:val="28"/>
          <w:szCs w:val="28"/>
        </w:rPr>
        <w:t>本报告的功能单位定义为生产 “</w:t>
      </w:r>
      <w:r>
        <w:rPr>
          <w:rFonts w:hint="eastAsia"/>
          <w:sz w:val="28"/>
          <w:szCs w:val="28"/>
          <w:lang w:eastAsia="zh-CN"/>
        </w:rPr>
        <w:t>1吨</w:t>
      </w:r>
      <w:r>
        <w:rPr>
          <w:rFonts w:hint="eastAsia"/>
          <w:sz w:val="28"/>
          <w:szCs w:val="28"/>
        </w:rPr>
        <w:t>”。系统边界为“从摇篮到坟墓”类型，调研了</w:t>
      </w:r>
      <w:r>
        <w:rPr>
          <w:rFonts w:hint="eastAsia"/>
          <w:sz w:val="28"/>
          <w:szCs w:val="28"/>
          <w:lang w:eastAsia="zh-CN"/>
        </w:rPr>
        <w:t>生产PVC地板</w:t>
      </w:r>
      <w:r>
        <w:rPr>
          <w:rFonts w:hint="eastAsia"/>
          <w:sz w:val="28"/>
          <w:szCs w:val="28"/>
        </w:rPr>
        <w:t>的上游原材料生产阶段、原材料运输阶段、</w:t>
      </w:r>
      <w:r>
        <w:rPr>
          <w:rFonts w:hint="eastAsia"/>
          <w:sz w:val="28"/>
          <w:szCs w:val="28"/>
          <w:lang w:eastAsia="zh-CN"/>
        </w:rPr>
        <w:t>PVC地板</w:t>
      </w:r>
      <w:r>
        <w:rPr>
          <w:rFonts w:hint="eastAsia"/>
          <w:sz w:val="28"/>
          <w:szCs w:val="28"/>
        </w:rPr>
        <w:t>生产阶段、销售运输阶段、使用阶段及报废后回收处置阶段。</w:t>
      </w:r>
    </w:p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2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11781975"/>
      <w:docPartObj>
        <w:docPartGallery w:val="autotext"/>
      </w:docPartObj>
    </w:sdtPr>
    <w:sdtContent>
      <w:p>
        <w:pPr>
          <w:pStyle w:val="3"/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  <w:lang w:eastAsia="zh-CN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OJUQ0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OJUQ0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  <w:jc w:val="center"/>
      <w:rPr>
        <w:rFonts w:hint="eastAsia" w:eastAsiaTheme="minorEastAsia"/>
        <w:lang w:eastAsia="zh-CN"/>
      </w:rPr>
    </w:pPr>
    <w:r>
      <w:rPr>
        <w:rFonts w:hint="eastAsia"/>
        <w:lang w:eastAsia="zh-CN"/>
      </w:rPr>
      <w:t>浙江奕科新材料股份有限公司碳足迹报告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MjRkYzc0NGFmYWY4MDc0ZWYyYmE4YzUxNTE1NTIifQ=="/>
    <w:docVar w:name="KSO_WPS_MARK_KEY" w:val="235028bc-92df-4d92-9a6f-9a4312986017"/>
  </w:docVars>
  <w:rsids>
    <w:rsidRoot w:val="04161958"/>
    <w:rsid w:val="04161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8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607</Words>
  <Characters>699</Characters>
  <Lines>0</Lines>
  <Paragraphs>0</Paragraphs>
  <TotalTime>1</TotalTime>
  <ScaleCrop>false</ScaleCrop>
  <LinksUpToDate>false</LinksUpToDate>
  <CharactersWithSpaces>748</CharactersWithSpaces>
  <Application>WPS Office_11.1.0.15309_F1E327BC-269C-435d-A152-05C5408002CA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2024-03-18T01:52:00Z</dcterms:created>
  <dc:creator>小熊猫</dc:creator>
  <cp:lastModifiedBy>小熊猫</cp:lastModifiedBy>
  <dcterms:modified xsi:type="dcterms:W3CDTF">2024-03-18T01:54:02Z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2052-11.1.0.15309</vt:lpwstr>
  </property>
  <property fmtid="{D5CDD505-2E9C-101B-9397-08002B2CF9AE}" pid="3" name="ICV">
    <vt:lpwstr>9AC168A4A8644EA38D7D3B68D0B8E9AD_11</vt:lpwstr>
  </property>
</Properties>
</file>